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proofErr w:type="gramStart"/>
      <w:r w:rsidRPr="00DC2F4C">
        <w:rPr>
          <w:rFonts w:ascii="Times New Roman" w:hAnsi="Times New Roman" w:cs="Times New Roman"/>
        </w:rPr>
        <w:t>………………………………..</w:t>
      </w:r>
      <w:proofErr w:type="gramEnd"/>
      <w:r w:rsidRPr="00DC2F4C">
        <w:rPr>
          <w:rFonts w:ascii="Times New Roman" w:hAnsi="Times New Roman" w:cs="Times New Roman"/>
        </w:rPr>
        <w:t xml:space="preserve"> İLÇESİ </w:t>
      </w:r>
      <w:r w:rsidR="000D5B7E">
        <w:rPr>
          <w:rFonts w:ascii="Times New Roman" w:hAnsi="Times New Roman" w:cs="Times New Roman"/>
          <w:b/>
          <w:i/>
        </w:rPr>
        <w:t>YABANCI DİL EĞİTİMİ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0D5B7E" w:rsidRPr="000D5B7E">
              <w:rPr>
                <w:rFonts w:ascii="Times New Roman" w:hAnsi="Times New Roman" w:cs="Times New Roman"/>
                <w:b/>
              </w:rPr>
              <w:t>Ülke Genelinde Yabancı Dil Eğitimi, Seviye Ve Okul Türlerine Göre Uyarlanacak</w:t>
            </w:r>
            <w:r w:rsidR="000D5B7E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0D5B7E" w:rsidP="004752C0">
            <w:pPr>
              <w:jc w:val="both"/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 xml:space="preserve">Yabancı dil eğitimi, öğrenci merkezli bir yaklaşımla, öğrencilerin bilişsel düzeylerine uygun </w:t>
            </w:r>
            <w:proofErr w:type="gramStart"/>
            <w:r w:rsidRPr="000D5B7E">
              <w:rPr>
                <w:rFonts w:ascii="Times New Roman" w:hAnsi="Times New Roman" w:cs="Times New Roman"/>
              </w:rPr>
              <w:t>metodolojiler</w:t>
            </w:r>
            <w:proofErr w:type="gramEnd"/>
            <w:r w:rsidRPr="000D5B7E">
              <w:rPr>
                <w:rFonts w:ascii="Times New Roman" w:hAnsi="Times New Roman" w:cs="Times New Roman"/>
              </w:rPr>
              <w:t xml:space="preserve"> kullanılarak ele alınacaktır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0D5B7E" w:rsidP="006D1092">
            <w:pPr>
              <w:rPr>
                <w:rFonts w:ascii="Times New Roman" w:hAnsi="Times New Roman" w:cs="Times New Roman"/>
                <w:b/>
              </w:rPr>
            </w:pPr>
            <w:r w:rsidRPr="000D5B7E">
              <w:rPr>
                <w:rFonts w:ascii="Times New Roman" w:hAnsi="Times New Roman" w:cs="Times New Roman"/>
              </w:rPr>
              <w:t xml:space="preserve">Disiplinler arası yaklaşımla Matematik, fen, sosyal bilgiler ve görsel sanatlar gibi farklı disiplinlerin, İngilizce dil eğitimine </w:t>
            </w:r>
            <w:proofErr w:type="gramStart"/>
            <w:r w:rsidRPr="000D5B7E">
              <w:rPr>
                <w:rFonts w:ascii="Times New Roman" w:hAnsi="Times New Roman" w:cs="Times New Roman"/>
              </w:rPr>
              <w:t>entegrasyonu</w:t>
            </w:r>
            <w:proofErr w:type="gramEnd"/>
            <w:r w:rsidRPr="000D5B7E">
              <w:rPr>
                <w:rFonts w:ascii="Times New Roman" w:hAnsi="Times New Roman" w:cs="Times New Roman"/>
              </w:rPr>
              <w:t xml:space="preserve"> sağlanarak, öğrencilerin yabancı dili kullanımlarını farklı alanlara aktarmaları mümkün kılınacaktır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0D5B7E" w:rsidP="006D1092">
            <w:pPr>
              <w:rPr>
                <w:rFonts w:ascii="Times New Roman" w:hAnsi="Times New Roman" w:cs="Times New Roman"/>
                <w:b/>
              </w:rPr>
            </w:pPr>
            <w:r w:rsidRPr="000D5B7E">
              <w:rPr>
                <w:rFonts w:ascii="Times New Roman" w:hAnsi="Times New Roman" w:cs="Times New Roman"/>
              </w:rPr>
              <w:t>Okul ve program türlerine göre yabancı dil beceri ve ihtiyaçları yapılandırılacaktır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0D5B7E" w:rsidP="006D1092">
            <w:pPr>
              <w:rPr>
                <w:rFonts w:ascii="Times New Roman" w:hAnsi="Times New Roman" w:cs="Times New Roman"/>
                <w:b/>
              </w:rPr>
            </w:pPr>
            <w:r w:rsidRPr="000D5B7E">
              <w:rPr>
                <w:rFonts w:ascii="Times New Roman" w:hAnsi="Times New Roman" w:cs="Times New Roman"/>
              </w:rPr>
              <w:t>Öğretim programlarının ülke sathında tek tip olarak uygulanmasından vazgeçilecektir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0D5B7E" w:rsidP="006D1092">
            <w:pPr>
              <w:rPr>
                <w:rFonts w:ascii="Times New Roman" w:hAnsi="Times New Roman" w:cs="Times New Roman"/>
                <w:b/>
              </w:rPr>
            </w:pPr>
            <w:r w:rsidRPr="000D5B7E">
              <w:rPr>
                <w:rFonts w:ascii="Times New Roman" w:hAnsi="Times New Roman" w:cs="Times New Roman"/>
              </w:rPr>
              <w:t>Zorunlu Seçmeli yabancı dil dersleri ihtiyaçlar doğrultusunda tanzim edilecektir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</w:p>
          <w:p w:rsidR="00177A64" w:rsidRPr="00E007A8" w:rsidRDefault="000D5B7E" w:rsidP="006D1092">
            <w:pPr>
              <w:rPr>
                <w:rFonts w:ascii="Times New Roman" w:hAnsi="Times New Roman" w:cs="Times New Roman"/>
                <w:b/>
              </w:rPr>
            </w:pPr>
            <w:r w:rsidRPr="000D5B7E">
              <w:rPr>
                <w:rFonts w:ascii="Times New Roman" w:hAnsi="Times New Roman" w:cs="Times New Roman"/>
              </w:rPr>
              <w:t>Ders saati sürelerine ilişkin esnekleştirilmiş düzenlemeler yapılacaktır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4752C0" w:rsidRDefault="000D5B7E" w:rsidP="004752C0">
            <w:pPr>
              <w:jc w:val="both"/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 xml:space="preserve">TRT’yle iş birliği yapılarak film, animasyon vb. konularda alt yazılı ve doğrudan yabancı dilde üretilmiş özgün </w:t>
            </w:r>
            <w:proofErr w:type="gramStart"/>
            <w:r w:rsidRPr="000D5B7E">
              <w:rPr>
                <w:rFonts w:ascii="Times New Roman" w:hAnsi="Times New Roman" w:cs="Times New Roman"/>
              </w:rPr>
              <w:t>prodüksiyonlar</w:t>
            </w:r>
            <w:proofErr w:type="gramEnd"/>
            <w:r w:rsidRPr="000D5B7E">
              <w:rPr>
                <w:rFonts w:ascii="Times New Roman" w:hAnsi="Times New Roman" w:cs="Times New Roman"/>
              </w:rPr>
              <w:t xml:space="preserve"> hazırlanacaktır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177A64" w:rsidRDefault="00177A64" w:rsidP="004752C0">
            <w:pPr>
              <w:rPr>
                <w:rFonts w:ascii="Times New Roman" w:hAnsi="Times New Roman" w:cs="Times New Roman"/>
                <w:b/>
              </w:rPr>
            </w:pPr>
            <w:r w:rsidRPr="000B14ED">
              <w:rPr>
                <w:rFonts w:ascii="Times New Roman" w:hAnsi="Times New Roman" w:cs="Times New Roman"/>
                <w:b/>
              </w:rPr>
              <w:t xml:space="preserve">Hedef 2: </w:t>
            </w:r>
            <w:r w:rsidR="000D5B7E" w:rsidRPr="000D5B7E">
              <w:rPr>
                <w:rFonts w:ascii="Times New Roman" w:hAnsi="Times New Roman" w:cs="Times New Roman"/>
                <w:b/>
              </w:rPr>
              <w:t>Yeni Kaynaklarla Öğrencilerin İngilizce Konuşulan Dünyayı Deneyimlemesi Sağlanacak</w:t>
            </w:r>
            <w:r w:rsidR="000D5B7E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0B14ED" w:rsidRDefault="000D5B7E" w:rsidP="000D5B7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Öğrencilerin ana dili İngilizce, Almanca, Fransızca olan öğretmenleri izleyebilmeleri, yaşayan dile ulaşmaları, çevrim içi yazma ve tartışma etkinliklerini yapabilmeleri için dijital ortamlar oluşturulacaktır.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E ğ itim Bili ş im A ğ ı</w:t>
            </w:r>
          </w:p>
          <w:p w:rsidR="00177A64" w:rsidRPr="000B14ED" w:rsidRDefault="000D5B7E" w:rsidP="000D5B7E">
            <w:pPr>
              <w:rPr>
                <w:rFonts w:ascii="Times New Roman" w:hAnsi="Times New Roman" w:cs="Times New Roman"/>
                <w:b/>
              </w:rPr>
            </w:pPr>
            <w:r w:rsidRPr="000D5B7E">
              <w:rPr>
                <w:rFonts w:ascii="Times New Roman" w:hAnsi="Times New Roman" w:cs="Times New Roman"/>
              </w:rPr>
              <w:t xml:space="preserve"> (EBA) üzerindeki içerik havuzunu genişletmek üzere ulusal ve uluslararası yayıncılardan yenilikçi dijital kaynaklar temin edilecektir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Tüm dijital içerikler öğrencilerin dinleme, konuşma, okuma ve yazma dil becerilerinin bütüncül olarak geliştirildiği temalar bağlamında tasarlanacaktır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Kademelere göre farklılaşan içerik, yöntem ve teknikler tasarlanacaktır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4. sınıflarda video oyunları, şarkılar, interaktif etkinlikler, interaktif oyunlar ve hikâyeler yer alacaktır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 xml:space="preserve">5-8. sınıflarda her bir öğrencinin bireysel gereksinimine cevap verecek şekilde </w:t>
            </w:r>
            <w:proofErr w:type="spellStart"/>
            <w:r w:rsidRPr="000D5B7E">
              <w:rPr>
                <w:rFonts w:ascii="Times New Roman" w:hAnsi="Times New Roman" w:cs="Times New Roman"/>
              </w:rPr>
              <w:t>seviyelendirilmiş</w:t>
            </w:r>
            <w:proofErr w:type="spellEnd"/>
            <w:r w:rsidRPr="000D5B7E">
              <w:rPr>
                <w:rFonts w:ascii="Times New Roman" w:hAnsi="Times New Roman" w:cs="Times New Roman"/>
              </w:rPr>
              <w:t xml:space="preserve"> çevrim içi hikâye kitaplarına, yazma etkinlikleri, kelime çalışmaları vb. çalışmaları yapmalarına imkân veren öğrenme kaynakları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9-12. sınıflarda öğrencilerin devam ettikleri okul türünün öncelikleri uyarınca konuşma, dinleme, okuma ve yazma becerilerini geliştirecek içerikler hazırlanacaktır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0D5B7E" w:rsidRDefault="00177A64" w:rsidP="004752C0">
            <w:pPr>
              <w:rPr>
                <w:rFonts w:ascii="Times New Roman" w:hAnsi="Times New Roman" w:cs="Times New Roman"/>
                <w:b/>
              </w:rPr>
            </w:pPr>
            <w:r w:rsidRPr="004752C0">
              <w:rPr>
                <w:rFonts w:ascii="Times New Roman" w:hAnsi="Times New Roman" w:cs="Times New Roman"/>
                <w:b/>
              </w:rPr>
              <w:t xml:space="preserve">Hedef 3: </w:t>
            </w:r>
            <w:r w:rsidR="000D5B7E" w:rsidRPr="000D5B7E">
              <w:rPr>
                <w:rFonts w:ascii="Times New Roman" w:hAnsi="Times New Roman" w:cs="Times New Roman"/>
                <w:b/>
              </w:rPr>
              <w:t>Yabancı Dil Eğitiminde Öğretmen Nitelik Ve Yeterlilikleri Yükseltilecek</w:t>
            </w:r>
            <w:r w:rsidR="000D5B7E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0D5B7E" w:rsidP="004752C0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 xml:space="preserve">Uluslararası kuruluşlar, yükseköğretim kurumları, STK’ler desteğiyle yabancı dil öğretmenlerinin tümü için üç yıllık bir </w:t>
            </w:r>
            <w:proofErr w:type="gramStart"/>
            <w:r w:rsidRPr="000D5B7E">
              <w:rPr>
                <w:rFonts w:ascii="Times New Roman" w:hAnsi="Times New Roman" w:cs="Times New Roman"/>
              </w:rPr>
              <w:t>projeksiyonda</w:t>
            </w:r>
            <w:proofErr w:type="gramEnd"/>
            <w:r w:rsidRPr="000D5B7E">
              <w:rPr>
                <w:rFonts w:ascii="Times New Roman" w:hAnsi="Times New Roman" w:cs="Times New Roman"/>
              </w:rPr>
              <w:t xml:space="preserve"> yüksek lisans, uluslararası sertifikalandırma, temalı sertifikalar ve benzeri eğitim çalışmaları çevrim içi, çevrim dışı ve yüz yüze gerçekleştirilecektir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0D5B7E" w:rsidP="005C0A96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 xml:space="preserve">Yabancı dil öğretmenlerine “Yaşam Boyu Öğrenme” felsefesi doğrultusunda çevrim içi ve yüz yüze eğitimler </w:t>
            </w:r>
            <w:r w:rsidRPr="000D5B7E">
              <w:rPr>
                <w:rFonts w:ascii="Times New Roman" w:hAnsi="Times New Roman" w:cs="Times New Roman"/>
              </w:rPr>
              <w:lastRenderedPageBreak/>
              <w:t>verilecek, ana dili İngilizce olan öğretmenlerle çalışmaları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0D5B7E" w:rsidP="006D1092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 xml:space="preserve">Öğretmenlerin alan </w:t>
            </w:r>
            <w:proofErr w:type="gramStart"/>
            <w:r w:rsidRPr="000D5B7E">
              <w:rPr>
                <w:rFonts w:ascii="Times New Roman" w:hAnsi="Times New Roman" w:cs="Times New Roman"/>
              </w:rPr>
              <w:t>metodolojisine</w:t>
            </w:r>
            <w:proofErr w:type="gramEnd"/>
            <w:r w:rsidRPr="000D5B7E">
              <w:rPr>
                <w:rFonts w:ascii="Times New Roman" w:hAnsi="Times New Roman" w:cs="Times New Roman"/>
              </w:rPr>
              <w:t xml:space="preserve"> hâkim olmalarının yanı sıra dijital kaynakları kullanmalarına yönelik imkânlar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Öğretmenler ve eğiticiler yaz tatilinde yurt dışı öğretmen eğitimi sertifika programlarına gönderilecektir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Nitelikli yabancı dil eğitimi için, yabancı dil eğitiminde dil politikalarını, dil öğretim standartlarını ve sınıf içi uygulamalar ile öğretmen yeterliklerini belirleyecek</w:t>
            </w:r>
            <w:r>
              <w:rPr>
                <w:rFonts w:ascii="Times New Roman" w:hAnsi="Times New Roman" w:cs="Times New Roman"/>
              </w:rPr>
              <w:t xml:space="preserve"> olan bir “Ulusal Yabancı Dil E</w:t>
            </w:r>
            <w:r w:rsidRPr="000D5B7E">
              <w:rPr>
                <w:rFonts w:ascii="Times New Roman" w:hAnsi="Times New Roman" w:cs="Times New Roman"/>
              </w:rPr>
              <w:t>ğitimi Konseyi”</w:t>
            </w:r>
            <w:r>
              <w:rPr>
                <w:rFonts w:ascii="Times New Roman" w:hAnsi="Times New Roman" w:cs="Times New Roman"/>
              </w:rPr>
              <w:t xml:space="preserve"> oluşturulacaktır.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Merkezî Sınavlar Komisyonu kurulacaktır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0D5B7E" w:rsidRPr="00354E02" w:rsidTr="00177A64">
        <w:trPr>
          <w:trHeight w:val="1134"/>
        </w:trPr>
        <w:tc>
          <w:tcPr>
            <w:tcW w:w="379" w:type="dxa"/>
            <w:vAlign w:val="center"/>
          </w:tcPr>
          <w:p w:rsidR="000D5B7E" w:rsidRPr="00354E02" w:rsidRDefault="000D5B7E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D5B7E" w:rsidRPr="000D5B7E" w:rsidRDefault="000D5B7E" w:rsidP="000D5B7E">
            <w:pPr>
              <w:rPr>
                <w:rFonts w:ascii="Times New Roman" w:hAnsi="Times New Roman" w:cs="Times New Roman"/>
              </w:rPr>
            </w:pPr>
            <w:r w:rsidRPr="000D5B7E">
              <w:rPr>
                <w:rFonts w:ascii="Times New Roman" w:hAnsi="Times New Roman" w:cs="Times New Roman"/>
              </w:rPr>
              <w:t>Eğitim Malzemeleri Komisyonu kurulacaktır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D5B7E" w:rsidRPr="00354E02" w:rsidRDefault="000D5B7E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A8" w:rsidRDefault="00AC6BA8" w:rsidP="008128D3">
      <w:pPr>
        <w:spacing w:after="0" w:line="240" w:lineRule="auto"/>
      </w:pPr>
      <w:r>
        <w:separator/>
      </w:r>
    </w:p>
  </w:endnote>
  <w:endnote w:type="continuationSeparator" w:id="0">
    <w:p w:rsidR="00AC6BA8" w:rsidRDefault="00AC6BA8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A8" w:rsidRDefault="00AC6BA8" w:rsidP="008128D3">
      <w:pPr>
        <w:spacing w:after="0" w:line="240" w:lineRule="auto"/>
      </w:pPr>
      <w:r>
        <w:separator/>
      </w:r>
    </w:p>
  </w:footnote>
  <w:footnote w:type="continuationSeparator" w:id="0">
    <w:p w:rsidR="00AC6BA8" w:rsidRDefault="00AC6BA8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0D5B7E"/>
    <w:rsid w:val="00177A64"/>
    <w:rsid w:val="001A0770"/>
    <w:rsid w:val="00253C28"/>
    <w:rsid w:val="00344600"/>
    <w:rsid w:val="00354E02"/>
    <w:rsid w:val="003C5A8E"/>
    <w:rsid w:val="0043158C"/>
    <w:rsid w:val="00433DF4"/>
    <w:rsid w:val="004752C0"/>
    <w:rsid w:val="004F718C"/>
    <w:rsid w:val="005A324B"/>
    <w:rsid w:val="005C0A96"/>
    <w:rsid w:val="0065065A"/>
    <w:rsid w:val="006D1092"/>
    <w:rsid w:val="00730E38"/>
    <w:rsid w:val="008128D3"/>
    <w:rsid w:val="008E6304"/>
    <w:rsid w:val="009231B4"/>
    <w:rsid w:val="00983786"/>
    <w:rsid w:val="009B6A45"/>
    <w:rsid w:val="00A474E3"/>
    <w:rsid w:val="00AB1B84"/>
    <w:rsid w:val="00AC6BA8"/>
    <w:rsid w:val="00B2335B"/>
    <w:rsid w:val="00BC2DF4"/>
    <w:rsid w:val="00C16E07"/>
    <w:rsid w:val="00C74AF1"/>
    <w:rsid w:val="00CF60CD"/>
    <w:rsid w:val="00D0133A"/>
    <w:rsid w:val="00DB322E"/>
    <w:rsid w:val="00DC2F4C"/>
    <w:rsid w:val="00DE51AB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2019-01-08T07:48:00Z</dcterms:created>
  <dcterms:modified xsi:type="dcterms:W3CDTF">2019-01-08T07:48:00Z</dcterms:modified>
</cp:coreProperties>
</file>